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0F718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0F718F">
        <w:rPr>
          <w:rFonts w:cs="Arial"/>
          <w:szCs w:val="40"/>
        </w:rPr>
        <w:t>Press</w:t>
      </w:r>
      <w:r w:rsidR="00FD6C00" w:rsidRPr="000F718F">
        <w:rPr>
          <w:rFonts w:cs="Arial"/>
          <w:szCs w:val="40"/>
        </w:rPr>
        <w:t>e-Information</w:t>
      </w:r>
    </w:p>
    <w:p w:rsidR="00FD6C00" w:rsidRPr="000F718F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0F718F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6C3CE4" w:rsidRPr="000F718F" w:rsidRDefault="0088165A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0F718F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ANDRITZ-GRUPPE</w:t>
      </w:r>
      <w:r w:rsidR="00B967FF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: Ergebnisse</w:t>
      </w:r>
      <w:r w:rsidR="00FE47E1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</w:t>
      </w:r>
      <w:r w:rsidR="0033392F" w:rsidRPr="000F718F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1. Quartal 201</w:t>
      </w:r>
      <w:r w:rsidR="00504A98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6</w:t>
      </w: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DE32C5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Graz, </w:t>
      </w:r>
      <w:r w:rsidR="00504A98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4</w:t>
      </w: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</w:t>
      </w:r>
      <w:r w:rsidR="0033392F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Mai </w:t>
      </w: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201</w:t>
      </w:r>
      <w:r w:rsidR="00504A98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6</w:t>
      </w:r>
      <w:r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 </w:t>
      </w:r>
      <w:r w:rsidR="00C05D6E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Der internationale Technologiekonzern ANDRITZ </w:t>
      </w:r>
      <w:r w:rsidR="007F19B0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verzeichnete im </w:t>
      </w:r>
      <w:r w:rsidR="0019619A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1. Quartal 201</w:t>
      </w:r>
      <w:r w:rsidR="00E73D63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6</w:t>
      </w:r>
      <w:r w:rsidR="007F19B0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eine solide </w:t>
      </w:r>
      <w:r w:rsidR="00DE32C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Rentabilität trotz leicht rückläufigen Umsatzes und Auftragseingangs. </w:t>
      </w:r>
    </w:p>
    <w:p w:rsidR="002719EF" w:rsidRDefault="002719EF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88165A" w:rsidRPr="00851615" w:rsidRDefault="00365968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Die </w:t>
      </w:r>
      <w:r w:rsidR="00DD4FAE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wesentlichen Finanzkennzahlen 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entwickelt</w:t>
      </w:r>
      <w:r w:rsidR="007F19B0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en sich wie folgt</w:t>
      </w:r>
      <w:r w:rsidR="006C3CE4" w:rsidRPr="0085161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:</w:t>
      </w:r>
    </w:p>
    <w:p w:rsidR="00370CDD" w:rsidRPr="00851615" w:rsidRDefault="0088165A" w:rsidP="00C123C5">
      <w:pPr>
        <w:pStyle w:val="ListParagraph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Der 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Umsatz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DD4FAE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lag mit </w:t>
      </w:r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"1,285.6"</w:instrText>
      </w:r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7" w:name="_FLink_2D_fdll_1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1.285,6</w:t>
      </w:r>
      <w:bookmarkEnd w:id="7"/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FE47E1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C123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Millionen Euro (MEUR)</w:t>
      </w:r>
      <w:r w:rsidR="00370CDD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unter</w:t>
      </w:r>
      <w:r w:rsidR="00370CDD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2832B2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dem Vorjahresvergleichswert (</w:t>
      </w:r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-</w:t>
      </w:r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"8.5%"</w:instrText>
      </w:r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8" w:name="_FLink_2D_fdll_2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8,5</w:t>
      </w:r>
      <w:r w:rsidR="009568F3" w:rsidRP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%</w:t>
      </w:r>
      <w:bookmarkEnd w:id="8"/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FE6FA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4B77F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versus</w:t>
      </w:r>
      <w:r w:rsidR="004D1193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2832B2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Q1 </w:t>
      </w:r>
      <w:r w:rsidR="00370CDD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201</w: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</w:t>
      </w:r>
      <w:r w:rsidR="00370CDD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B80F71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"1,404.3"</w:instrText>
      </w:r>
      <w:r w:rsidR="00B80F71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9" w:name="_FLink_2D_fdll_16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1.404,3</w:t>
      </w:r>
      <w:bookmarkEnd w:id="9"/>
      <w:r w:rsidR="00B80F71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FE47E1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370CDD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MEUR). </w:t>
      </w:r>
      <w:r w:rsidR="002832B2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Alle Geschäftsbereiche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verzeichneten im Jahresvergleich einen Rückgang beim Umsatz</w:t>
      </w:r>
      <w:r w:rsidR="005F33E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.</w:t>
      </w:r>
    </w:p>
    <w:p w:rsidR="008F07AB" w:rsidRPr="00851615" w:rsidRDefault="006C7ADD" w:rsidP="006C7ADD">
      <w:pPr>
        <w:pStyle w:val="ListParagraph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Der 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Auftragseingang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erreichte mit </w: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"1,247.4"</w:instrTex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0" w:name="_FLink_2D_fdll_11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1.247,4</w:t>
      </w:r>
      <w:bookmarkEnd w:id="10"/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MEUR ein insgesamt zufriedenstellendes Niveau, lag jedoch um </w: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"12.8%"</w:instrTex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1" w:name="_FLink_2D_fdll_15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12,8</w:t>
      </w:r>
      <w:r w:rsidR="009568F3" w:rsidRP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%</w:t>
      </w:r>
      <w:bookmarkEnd w:id="11"/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unter dem Vorjahresvergleichswert (Q1 201</w: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"1,430.6"</w:instrTex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2" w:name="_FLink_2D_fdll_4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1.430,6</w:t>
      </w:r>
      <w:bookmarkEnd w:id="12"/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MEUR).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Während </w:t>
      </w:r>
      <w:r w:rsidR="005F33E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insbesondere der 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G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e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schäftsbereich PULP &amp; PAPER sowie </w:t>
      </w:r>
      <w:r w:rsidR="005F33E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auch 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SEPARATION den Auftragseingang gegenüber dem 1. Qua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r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tal 2015 erhöhen konnten, verzeichneten HYDRO sowie METALS deutliche Rückgänge beim Auftragseingang.</w:t>
      </w:r>
    </w:p>
    <w:p w:rsidR="000363BF" w:rsidRPr="00851615" w:rsidRDefault="000363BF" w:rsidP="00C123C5">
      <w:pPr>
        <w:pStyle w:val="ListParagraph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Der 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Auftragsstand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per 31. März 201</w: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6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betrug </w:t>
      </w:r>
      <w:r w:rsidR="00D05B1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"7,147.6"</w:instrText>
      </w:r>
      <w:r w:rsidR="00D05B1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3" w:name="_FLink_2D_fdll_5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7.147,6</w:t>
      </w:r>
      <w:bookmarkEnd w:id="13"/>
      <w:r w:rsidR="00D05B1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MEUR und ist damit im </w:t>
      </w:r>
      <w:r w:rsidR="002832B2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Vergleich zum Ende des Vorjahrs</w:t>
      </w:r>
      <w:r w:rsidR="00AB7A1F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C741F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(31. Dezember 2015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D05B1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"7,324.2"</w:instrText>
      </w:r>
      <w:r w:rsidR="00D05B1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4" w:name="_FLink_2D_fdll_6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7.324,2</w:t>
      </w:r>
      <w:bookmarkEnd w:id="14"/>
      <w:r w:rsidR="00D05B1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C3551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MEUR)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leicht </w:t>
      </w:r>
      <w:r w:rsidR="00E5512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gesunken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.</w:t>
      </w:r>
    </w:p>
    <w:p w:rsidR="00D875BB" w:rsidRPr="00851615" w:rsidRDefault="00673252" w:rsidP="00C123C5">
      <w:pPr>
        <w:pStyle w:val="ListParagraph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D</w:t>
      </w:r>
      <w:r w:rsidR="00D875BB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as </w:t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EBITA</w:t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konnte trotz Umsatzrückgang</w:t>
      </w:r>
      <w:r w:rsidR="00A7412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s</w:t>
      </w:r>
      <w:bookmarkStart w:id="15" w:name="_GoBack"/>
      <w:bookmarkEnd w:id="15"/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auf </w: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"83.9"</w:instrTex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6" w:name="_FLink_2D_fdll_10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83,9</w:t>
      </w:r>
      <w:bookmarkEnd w:id="16"/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F5B6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MEUR (Q1 201</w:t>
      </w:r>
      <w:r w:rsidR="004D2D14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</w: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"73.4"</w:instrTex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7" w:name="_FLink_2D_fdll_7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73,4</w:t>
      </w:r>
      <w:bookmarkEnd w:id="17"/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F5B6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MEUR)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gesteigert werden, was insbesondere auf die sehr gute Entwicklung </w:t>
      </w:r>
      <w:r w:rsidR="00401B4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in den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Bereich</w:t>
      </w:r>
      <w:r w:rsidR="00401B4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en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PULP &amp; PAPER sowie HYDRO zurückz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u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führen ist</w:t>
      </w:r>
      <w:r w:rsidR="00AF5B6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. 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Damit einhergehend erhöhte sich die Rentabilität der Gruppe (</w:t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EBITA-Marge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)</w:t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auf </w: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"6.5%"</w:instrTex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8" w:name="_FLink_2D_fdll_8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6,5</w:t>
      </w:r>
      <w:r w:rsidR="009568F3" w:rsidRP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%</w:t>
      </w:r>
      <w:bookmarkEnd w:id="18"/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D875BB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(Q1</w:t>
      </w:r>
      <w:r w:rsidR="00AF5B6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201</w:t>
      </w:r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</w:t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"5.2%"</w:instrText>
      </w:r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9" w:name="_FLink_2D_fdll_12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5,2</w:t>
      </w:r>
      <w:r w:rsidR="009568F3" w:rsidRP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%</w:t>
      </w:r>
      <w:bookmarkEnd w:id="19"/>
      <w:r w:rsidR="00AF2BE4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72837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)</w:t>
      </w:r>
      <w:r w:rsidR="00FA080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.</w:t>
      </w:r>
      <w:r w:rsidR="00AF5B6A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</w:p>
    <w:p w:rsidR="00D25F06" w:rsidRPr="00851615" w:rsidRDefault="00D25F06" w:rsidP="00D25F06">
      <w:pPr>
        <w:pStyle w:val="ListParagraph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Das 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Konzern</w:t>
      </w:r>
      <w:r w:rsidR="00CD2EAC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e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rgebnis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FA080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nach Abzug von nicht beherrschenden Anteilen </w:t>
      </w:r>
      <w:r w:rsidR="005F33E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stieg auf </w:t>
      </w:r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"52.5"</w:instrText>
      </w:r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20" w:name="_FLink_2D_fdll_13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52,5</w:t>
      </w:r>
      <w:bookmarkEnd w:id="20"/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C05519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 (Q1 201</w:t>
      </w:r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"44.0"</w:instrText>
      </w:r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21" w:name="_FLink_2D_fdll_9"/>
      <w:r w:rsidR="009568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44,0</w:t>
      </w:r>
      <w:bookmarkEnd w:id="21"/>
      <w:r w:rsidR="00720AC5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C05519"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85161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MEUR).</w:t>
      </w:r>
    </w:p>
    <w:p w:rsidR="00412FDC" w:rsidRPr="00851615" w:rsidRDefault="00412FDC" w:rsidP="0088165A">
      <w:pPr>
        <w:spacing w:after="0" w:line="320" w:lineRule="exact"/>
        <w:jc w:val="left"/>
        <w:rPr>
          <w:rFonts w:ascii="Arial" w:eastAsia="Times New Roman" w:hAnsi="Arial"/>
          <w:bCs/>
          <w:iCs/>
          <w:spacing w:val="0"/>
          <w:kern w:val="0"/>
          <w:sz w:val="20"/>
          <w:szCs w:val="24"/>
          <w:lang w:eastAsia="de-DE"/>
        </w:rPr>
      </w:pPr>
    </w:p>
    <w:p w:rsidR="00824414" w:rsidRDefault="005F33E3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Die </w:t>
      </w:r>
      <w:r w:rsidR="00356A3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Situation an den von ANDRITZ bedienten Märkten hat sich </w:t>
      </w:r>
      <w:r w:rsidR="00401B4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im Wesentlichen </w:t>
      </w:r>
      <w:r w:rsidR="00356A3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gegenüber 2015 nicht g</w:t>
      </w:r>
      <w:r w:rsidR="00356A3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e</w:t>
      </w:r>
      <w:r w:rsidR="00356A3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ändert. </w:t>
      </w:r>
      <w:r w:rsidR="003D787E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Während im </w:t>
      </w:r>
      <w:r w:rsidR="00356A3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Bereich PULP &amp; PAPER eine unverändert gute Projekt- und Investitionsaktivität </w:t>
      </w:r>
      <w:r w:rsidR="003D787E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vo</w:t>
      </w:r>
      <w:r w:rsidR="003D787E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r</w:t>
      </w:r>
      <w:r w:rsidR="003D787E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herrscht, sind in den Bereichen HYDRO sowie METALS aufgrund der </w:t>
      </w:r>
      <w:r w:rsidR="00DE32C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unsicheren Nachfrage</w:t>
      </w:r>
      <w:r w:rsidR="003D787E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viele Projekte vorübergehend gestoppt oder verschoben. </w:t>
      </w:r>
      <w:r w:rsidR="003D787E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Auf Basis de</w:t>
      </w:r>
      <w:r w:rsidR="00FB63B3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r Geschäftsergebnisse für das 1. Quartal 2016 </w:t>
      </w:r>
      <w:r w:rsidR="003D787E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geht ANDRITZ f</w:t>
      </w:r>
      <w:r w:rsidR="009C3BA2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ür das </w:t>
      </w:r>
      <w:r w:rsidR="00401B45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Gesamtjahr</w:t>
      </w:r>
      <w:r w:rsidR="009C3BA2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201</w:t>
      </w:r>
      <w:r w:rsidR="00A40E0C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6 </w:t>
      </w:r>
      <w:r w:rsidR="00497528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von einem leichten </w:t>
      </w:r>
      <w:r w:rsidR="00610CC4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Rückgang des Gruppenumsatzes</w:t>
      </w:r>
      <w:r w:rsidR="00497528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823FDB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gegenüber 2015 bei gleichzeitig solider Entwicklung der Rentabilität </w:t>
      </w:r>
      <w:r w:rsidR="00497528" w:rsidRPr="004772B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aus.</w:t>
      </w:r>
      <w:r w:rsidR="0049752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</w:p>
    <w:p w:rsidR="009E1D92" w:rsidRDefault="009E1D92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</w:p>
    <w:p w:rsidR="003D486A" w:rsidRPr="00F71949" w:rsidRDefault="003D486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</w:p>
    <w:p w:rsidR="0088165A" w:rsidRPr="000F718F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de-AT" w:eastAsia="de-DE"/>
        </w:rPr>
      </w:pPr>
      <w:r w:rsidRPr="00F7194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– Ende –</w:t>
      </w:r>
    </w:p>
    <w:p w:rsidR="0088165A" w:rsidRPr="000F718F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88165A" w:rsidRPr="000F718F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>
      <w:pPr>
        <w:spacing w:line="276" w:lineRule="auto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br w:type="page"/>
      </w: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720AC5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Download Presse-Information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720AC5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Die Presse-Information können Sie</w:t>
      </w:r>
      <w:r w:rsidR="0026215C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 </w:t>
      </w:r>
      <w:r w:rsidR="0026215C" w:rsidRPr="00720AC5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auf der ANDRITZ-Website herunterladen</w:t>
      </w:r>
      <w:r w:rsidR="0026215C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:</w:t>
      </w:r>
      <w:r w:rsidRPr="00720AC5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 </w:t>
      </w:r>
      <w:hyperlink r:id="rId9" w:history="1">
        <w:r w:rsidRPr="00720AC5">
          <w:rPr>
            <w:rFonts w:ascii="Arial" w:eastAsia="Times New Roman" w:hAnsi="Arial" w:cs="Arial"/>
            <w:color w:val="0000FF"/>
            <w:spacing w:val="0"/>
            <w:kern w:val="0"/>
            <w:sz w:val="18"/>
            <w:szCs w:val="18"/>
            <w:u w:val="single"/>
            <w:lang w:eastAsia="de-DE"/>
          </w:rPr>
          <w:t>www.andritz.com/news-de</w:t>
        </w:r>
      </w:hyperlink>
      <w:r w:rsidRPr="00720AC5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.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Für weitere Informationen wenden Sie sich bitte an: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Michael Buchbauer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Head of Corporate Communications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Tel.: +43 (316) 6902 2979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michael.buchbauer@andritz.com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www.andritz.com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Die ANDRITZ-GRUPPE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</w:pPr>
      <w:r w:rsidRPr="00720AC5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 xml:space="preserve"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rund </w:t>
      </w:r>
      <w:r w:rsidRPr="004772B8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>24.</w:t>
      </w:r>
      <w:r w:rsidR="009F7E75" w:rsidRPr="004772B8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>2</w:t>
      </w:r>
      <w:r w:rsidRPr="004772B8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>00</w:t>
      </w:r>
      <w:r w:rsidRPr="00720AC5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 xml:space="preserve"> Mitarbeiter beschäftigt, befindet sich in Graz, Österreich. ANDRITZ betreibt mehr als 250 Standorte weltweit.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eastAsia="de-DE"/>
        </w:rPr>
      </w:pP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Geschäfts- und Finanzberichte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Geschäfts- und Finanzberichte stehen auf der ANDRITZ-Website </w:t>
      </w:r>
      <w:hyperlink r:id="rId10" w:history="1">
        <w:r w:rsidRPr="00720AC5">
          <w:rPr>
            <w:rStyle w:val="Hyperlink"/>
            <w:rFonts w:ascii="Arial" w:eastAsia="Times New Roman" w:hAnsi="Arial" w:cs="Arial"/>
            <w:bCs/>
            <w:spacing w:val="0"/>
            <w:kern w:val="0"/>
            <w:sz w:val="18"/>
            <w:szCs w:val="18"/>
            <w:lang w:val="de-AT" w:eastAsia="de-DE"/>
          </w:rPr>
          <w:t>www.andritz.com</w:t>
        </w:r>
      </w:hyperlink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als Download zur Verfügung und können als kostenlose Druckexemplare unter </w:t>
      </w:r>
      <w:hyperlink r:id="rId11" w:history="1">
        <w:r w:rsidRPr="00720AC5">
          <w:rPr>
            <w:rFonts w:ascii="Arial" w:eastAsia="Times New Roman" w:hAnsi="Arial" w:cs="Arial"/>
            <w:bCs/>
            <w:spacing w:val="0"/>
            <w:kern w:val="0"/>
            <w:sz w:val="18"/>
            <w:szCs w:val="18"/>
            <w:lang w:eastAsia="de-DE"/>
          </w:rPr>
          <w:t>investors@andritz.com</w:t>
        </w:r>
      </w:hyperlink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angefordert werden.</w:t>
      </w: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</w:p>
    <w:p w:rsidR="006E00A0" w:rsidRPr="00720AC5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Disclaimer</w:t>
      </w:r>
    </w:p>
    <w:p w:rsidR="006E00A0" w:rsidRPr="0088165A" w:rsidRDefault="006E00A0" w:rsidP="006E00A0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Bestimmte Aussagen in dieser Presse-Information sind „</w:t>
      </w:r>
      <w:proofErr w:type="spellStart"/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zukunftsgerichtete</w:t>
      </w:r>
      <w:proofErr w:type="spellEnd"/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Aussagen“. Diese Aussagen, welche die Worte „glauben“, „beabsichtigen“, „erwarten“ und Begriffe ähnlicher Bedeutung enthalten, spiegeln die Ansichten und Erwartungen der Geschäftsleitung wider und unterliegen Risiken und Unsicherheiten, welche die tatsächlichen Erge</w:t>
      </w: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b</w:t>
      </w:r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nisse wesentlich beeinträchtigen können. Der Leser sollte daher nicht unangemessen auf diese </w:t>
      </w:r>
      <w:proofErr w:type="spellStart"/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zukunftsgerichteten</w:t>
      </w:r>
      <w:proofErr w:type="spellEnd"/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Aussagen vertrauen. Die Gesellschaft ist nicht verpflichtet, das Ergebnis allfälliger Berichtigungen der hierin enthaltenen </w:t>
      </w:r>
      <w:proofErr w:type="spellStart"/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zukunftsgerichteten</w:t>
      </w:r>
      <w:proofErr w:type="spellEnd"/>
      <w:r w:rsidRPr="00720AC5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Aussagen zu veröffentlichen, außer dies ist nach anwendbarem Recht erforderlich.</w:t>
      </w:r>
    </w:p>
    <w:p w:rsidR="00527AF8" w:rsidRPr="000F718F" w:rsidRDefault="00527AF8" w:rsidP="008436F0">
      <w:pPr>
        <w:pStyle w:val="TNote"/>
        <w:jc w:val="left"/>
        <w:rPr>
          <w:rFonts w:ascii="Arial" w:hAnsi="Arial" w:cs="Arial"/>
          <w:b/>
          <w:color w:val="auto"/>
          <w:sz w:val="20"/>
          <w:lang w:val="de-AT"/>
        </w:rPr>
      </w:pPr>
    </w:p>
    <w:p w:rsidR="00970991" w:rsidRPr="000F718F" w:rsidRDefault="00970991" w:rsidP="008436F0">
      <w:pPr>
        <w:pStyle w:val="TNote"/>
        <w:jc w:val="left"/>
        <w:rPr>
          <w:rFonts w:ascii="Arial" w:hAnsi="Arial" w:cs="Arial"/>
          <w:b/>
          <w:color w:val="auto"/>
          <w:sz w:val="20"/>
        </w:rPr>
      </w:pPr>
    </w:p>
    <w:p w:rsidR="00D74D00" w:rsidRPr="000F718F" w:rsidRDefault="00D74D00">
      <w:pPr>
        <w:spacing w:line="276" w:lineRule="auto"/>
        <w:jc w:val="left"/>
        <w:rPr>
          <w:rFonts w:ascii="Arial" w:hAnsi="Arial" w:cs="Arial"/>
          <w:b/>
          <w:spacing w:val="0"/>
          <w:kern w:val="0"/>
          <w:sz w:val="20"/>
        </w:rPr>
      </w:pPr>
      <w:r w:rsidRPr="000F718F">
        <w:rPr>
          <w:rFonts w:ascii="Arial" w:hAnsi="Arial" w:cs="Arial"/>
          <w:b/>
          <w:spacing w:val="0"/>
          <w:kern w:val="0"/>
          <w:sz w:val="20"/>
        </w:rPr>
        <w:br w:type="page"/>
      </w: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2D4F47" w:rsidRPr="000F718F" w:rsidRDefault="002D4F47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F77816" w:rsidRDefault="00F77816" w:rsidP="00F77816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  <w:r>
        <w:rPr>
          <w:rFonts w:ascii="Arial" w:hAnsi="Arial" w:cs="Arial"/>
          <w:b/>
          <w:color w:val="auto"/>
          <w:spacing w:val="0"/>
          <w:kern w:val="0"/>
          <w:sz w:val="20"/>
        </w:rPr>
        <w:t>Wichtige Finanzkennzahlen auf einen Blick</w:t>
      </w:r>
    </w:p>
    <w:p w:rsidR="00106507" w:rsidRDefault="00106507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484D9F" w:rsidRDefault="00484D9F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tbl>
      <w:tblPr>
        <w:tblW w:w="96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1"/>
        <w:gridCol w:w="1332"/>
        <w:gridCol w:w="1332"/>
        <w:gridCol w:w="1332"/>
        <w:gridCol w:w="1332"/>
        <w:gridCol w:w="1332"/>
      </w:tblGrid>
      <w:tr w:rsidR="00484D9F" w:rsidRPr="009568F3" w:rsidTr="00FB65CB">
        <w:trPr>
          <w:trHeight w:val="329"/>
        </w:trPr>
        <w:tc>
          <w:tcPr>
            <w:tcW w:w="2971" w:type="dxa"/>
            <w:tcBorders>
              <w:bottom w:val="single" w:sz="4" w:space="0" w:color="006EB4"/>
              <w:right w:val="single" w:sz="24" w:space="0" w:color="FFFFFF"/>
            </w:tcBorders>
            <w:shd w:val="clear" w:color="auto" w:fill="auto"/>
            <w:vAlign w:val="bottom"/>
          </w:tcPr>
          <w:p w:rsidR="00484D9F" w:rsidRPr="009568F3" w:rsidRDefault="009568F3" w:rsidP="00FB65CB">
            <w:pPr>
              <w:pStyle w:val="THeadfirstBlue"/>
              <w:rPr>
                <w:rFonts w:ascii="Arial" w:hAnsi="Arial" w:cs="Arial"/>
                <w:szCs w:val="18"/>
              </w:rPr>
            </w:pPr>
            <w:bookmarkStart w:id="22" w:name="_FLink_1T_fdll_1"/>
            <w:r w:rsidRPr="009568F3">
              <w:rPr>
                <w:rFonts w:ascii="Arial" w:hAnsi="Arial" w:cs="Arial"/>
                <w:szCs w:val="18"/>
              </w:rPr>
              <w:t> 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Headfirst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Einheit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Q1 2016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Q1 2015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Headfirst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+/-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Headfirst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2015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b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sz w:val="18"/>
                <w:szCs w:val="18"/>
              </w:rPr>
              <w:t xml:space="preserve">Umsatz 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b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color w:val="006EB4"/>
                <w:sz w:val="18"/>
                <w:szCs w:val="18"/>
              </w:rPr>
              <w:t>1.285,6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sz w:val="18"/>
                <w:szCs w:val="18"/>
              </w:rPr>
              <w:t>1.404,3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sz w:val="18"/>
                <w:szCs w:val="18"/>
              </w:rPr>
              <w:noBreakHyphen/>
              <w:t>8,5%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color w:val="006EB4"/>
                <w:sz w:val="18"/>
                <w:szCs w:val="18"/>
              </w:rPr>
              <w:t>6.377,2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HYDRO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367,9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407,9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9,8%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1.834,8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PULP &amp; PAPER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457,6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480,5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4,8%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2.196,3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METALS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333,0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377,1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11,7%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1.718,1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SEPARATION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127,1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138,8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8,4%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628,0</w:t>
            </w:r>
          </w:p>
        </w:tc>
      </w:tr>
      <w:tr w:rsidR="00484D9F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b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sz w:val="18"/>
                <w:szCs w:val="18"/>
              </w:rPr>
              <w:t>Auftragseingang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b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color w:val="006EB4"/>
                <w:sz w:val="18"/>
                <w:szCs w:val="18"/>
              </w:rPr>
              <w:t>1.247,4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sz w:val="18"/>
                <w:szCs w:val="18"/>
              </w:rPr>
              <w:t>1.430,6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sz w:val="18"/>
                <w:szCs w:val="18"/>
              </w:rPr>
              <w:noBreakHyphen/>
              <w:t>12,8%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b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b/>
                <w:color w:val="006EB4"/>
                <w:sz w:val="18"/>
                <w:szCs w:val="18"/>
              </w:rPr>
              <w:t>6.017,7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HYDRO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252,0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447,0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43,6%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1.718,7</w:t>
            </w:r>
          </w:p>
        </w:tc>
      </w:tr>
      <w:tr w:rsidR="00484D9F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PULP &amp; PAPER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545,6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462,4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+18,0%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2.263,9</w:t>
            </w:r>
          </w:p>
        </w:tc>
      </w:tr>
      <w:tr w:rsidR="00484D9F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METALS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299,3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384,9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22,2%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1.438,6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    SEPARATION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150,5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136,3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+10,4%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596,5</w:t>
            </w:r>
          </w:p>
        </w:tc>
      </w:tr>
      <w:tr w:rsidR="00484D9F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Auftragsstand </w:t>
            </w:r>
            <w:r w:rsidRPr="009568F3">
              <w:rPr>
                <w:rFonts w:ascii="Arial" w:hAnsi="Arial" w:cs="Arial"/>
                <w:sz w:val="16"/>
                <w:szCs w:val="18"/>
              </w:rPr>
              <w:t>(per ultimo)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7.147,6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7.785,6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8,2%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7.324,2</w:t>
            </w:r>
          </w:p>
        </w:tc>
      </w:tr>
      <w:tr w:rsidR="00484D9F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EBITDA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106,7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96,1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+11,0%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534,7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EBITDA-Marge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8,3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8,4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EBITA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83,9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73,4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+14,3%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429,0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EBITA-Marge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6,5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6,7</w:t>
            </w:r>
          </w:p>
        </w:tc>
      </w:tr>
      <w:tr w:rsidR="00FB65CB" w:rsidRPr="009568F3" w:rsidTr="00FB65CB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Ergebnis vor Zinsen </w:t>
            </w:r>
            <w:r w:rsidRPr="009568F3">
              <w:rPr>
                <w:rFonts w:ascii="Arial" w:hAnsi="Arial" w:cs="Arial"/>
                <w:sz w:val="18"/>
                <w:szCs w:val="18"/>
              </w:rPr>
              <w:br/>
              <w:t>und Steuern (EBIT)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spacing w:line="240" w:lineRule="auto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74,2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61,5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+20,7%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369,1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Finanzergebnis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0,7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36,4%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7,3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Ergebnis vor Steuern (EBT)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74,9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62,6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+19,6%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376,4</w:t>
            </w:r>
          </w:p>
        </w:tc>
      </w:tr>
      <w:tr w:rsidR="00484D9F" w:rsidRPr="009568F3" w:rsidTr="00FB65CB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E73D63">
            <w:pPr>
              <w:pStyle w:val="TBodylineText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Konzernergebnis </w:t>
            </w:r>
            <w:r w:rsidRPr="009568F3">
              <w:rPr>
                <w:rFonts w:ascii="Arial" w:hAnsi="Arial" w:cs="Arial"/>
                <w:sz w:val="18"/>
                <w:szCs w:val="18"/>
              </w:rPr>
              <w:br/>
            </w:r>
            <w:r w:rsidRPr="009568F3">
              <w:rPr>
                <w:rFonts w:ascii="Arial" w:hAnsi="Arial" w:cs="Arial"/>
                <w:sz w:val="16"/>
                <w:szCs w:val="18"/>
              </w:rPr>
              <w:t>(nach Abzug von nicht beherrschenden Anteilen)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lineNumber"/>
              <w:spacing w:line="240" w:lineRule="auto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52,5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44,0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+19,3%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267,7</w:t>
            </w:r>
          </w:p>
        </w:tc>
      </w:tr>
      <w:tr w:rsidR="00484D9F" w:rsidRPr="009568F3" w:rsidTr="00FB65CB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Text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Cashflow aus </w:t>
            </w:r>
            <w:r w:rsidRPr="009568F3">
              <w:rPr>
                <w:rFonts w:ascii="Arial" w:hAnsi="Arial" w:cs="Arial"/>
                <w:sz w:val="18"/>
                <w:szCs w:val="18"/>
              </w:rPr>
              <w:br/>
              <w:t>betrieblicher Tätigkeit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normalNumber"/>
              <w:spacing w:line="240" w:lineRule="auto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167,5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37,2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+350,3%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179,4</w:t>
            </w:r>
          </w:p>
        </w:tc>
      </w:tr>
      <w:tr w:rsidR="00FB65CB" w:rsidRPr="009568F3" w:rsidTr="00FB65CB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Investitionen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16,5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20,8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20,7%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101,4</w:t>
            </w:r>
          </w:p>
        </w:tc>
      </w:tr>
      <w:tr w:rsidR="00FB65CB" w:rsidRPr="009568F3" w:rsidTr="00FB65CB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E73D63">
            <w:pPr>
              <w:pStyle w:val="TBodylineText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 xml:space="preserve">Mitarbeiter </w:t>
            </w:r>
            <w:r w:rsidRPr="009568F3">
              <w:rPr>
                <w:rFonts w:ascii="Arial" w:hAnsi="Arial" w:cs="Arial"/>
                <w:sz w:val="18"/>
                <w:szCs w:val="18"/>
              </w:rPr>
              <w:br/>
            </w:r>
            <w:r w:rsidRPr="009568F3">
              <w:rPr>
                <w:rFonts w:ascii="Arial" w:hAnsi="Arial" w:cs="Arial"/>
                <w:sz w:val="16"/>
                <w:szCs w:val="18"/>
              </w:rPr>
              <w:t>(per ultimo, ohne Lehrlinge)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FB65CB">
            <w:pPr>
              <w:pStyle w:val="TBodylineNumber"/>
              <w:rPr>
                <w:rFonts w:ascii="Arial" w:hAnsi="Arial" w:cs="Arial"/>
                <w:i/>
                <w:sz w:val="16"/>
                <w:szCs w:val="18"/>
              </w:rPr>
            </w:pPr>
            <w:r w:rsidRPr="009568F3">
              <w:rPr>
                <w:rFonts w:ascii="Arial" w:hAnsi="Arial" w:cs="Arial"/>
                <w:i/>
                <w:sz w:val="16"/>
                <w:szCs w:val="18"/>
              </w:rPr>
              <w:t>-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24.195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t>24.855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sz w:val="18"/>
                <w:szCs w:val="18"/>
              </w:rPr>
            </w:pPr>
            <w:r w:rsidRPr="009568F3">
              <w:rPr>
                <w:rFonts w:ascii="Arial" w:hAnsi="Arial" w:cs="Arial"/>
                <w:sz w:val="18"/>
                <w:szCs w:val="18"/>
              </w:rPr>
              <w:noBreakHyphen/>
              <w:t>2,7%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484D9F" w:rsidRPr="009568F3" w:rsidRDefault="009568F3" w:rsidP="009568F3">
            <w:pPr>
              <w:pStyle w:val="TBodylin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9568F3">
              <w:rPr>
                <w:rFonts w:ascii="Arial" w:hAnsi="Arial" w:cs="Arial"/>
                <w:color w:val="006EB4"/>
                <w:sz w:val="18"/>
                <w:szCs w:val="18"/>
              </w:rPr>
              <w:t>24.508</w:t>
            </w:r>
          </w:p>
        </w:tc>
      </w:tr>
      <w:tr w:rsidR="00FB65CB" w:rsidRPr="009568F3" w:rsidTr="00FB65CB">
        <w:tc>
          <w:tcPr>
            <w:tcW w:w="2971" w:type="dxa"/>
            <w:tcBorders>
              <w:top w:val="single" w:sz="4" w:space="0" w:color="006EB4"/>
            </w:tcBorders>
            <w:shd w:val="clear" w:color="auto" w:fill="FFFFFF"/>
            <w:vAlign w:val="bottom"/>
          </w:tcPr>
          <w:p w:rsidR="00484D9F" w:rsidRPr="009568F3" w:rsidRDefault="00484D9F" w:rsidP="00FB65CB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006EB4"/>
              <w:left w:val="nil"/>
            </w:tcBorders>
            <w:shd w:val="clear" w:color="auto" w:fill="FFFFFF"/>
          </w:tcPr>
          <w:p w:rsidR="00484D9F" w:rsidRPr="009568F3" w:rsidRDefault="00484D9F" w:rsidP="00484D9F">
            <w:pPr>
              <w:pStyle w:val="TDummyRow"/>
              <w:jc w:val="left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1332" w:type="dxa"/>
            <w:tcBorders>
              <w:top w:val="single" w:sz="4" w:space="0" w:color="006EB4"/>
            </w:tcBorders>
            <w:shd w:val="clear" w:color="auto" w:fill="FFFFFF"/>
          </w:tcPr>
          <w:p w:rsidR="00484D9F" w:rsidRPr="009568F3" w:rsidRDefault="00484D9F" w:rsidP="00484D9F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006EB4"/>
            </w:tcBorders>
            <w:shd w:val="clear" w:color="auto" w:fill="FFFFFF"/>
          </w:tcPr>
          <w:p w:rsidR="00484D9F" w:rsidRPr="009568F3" w:rsidRDefault="00484D9F" w:rsidP="00484D9F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006EB4"/>
            </w:tcBorders>
            <w:shd w:val="clear" w:color="auto" w:fill="FFFFFF"/>
          </w:tcPr>
          <w:p w:rsidR="00484D9F" w:rsidRPr="009568F3" w:rsidRDefault="00484D9F" w:rsidP="00484D9F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single" w:sz="4" w:space="0" w:color="006EB4"/>
              <w:right w:val="single" w:sz="24" w:space="0" w:color="FFFFFF"/>
            </w:tcBorders>
            <w:shd w:val="clear" w:color="auto" w:fill="FFFFFF"/>
          </w:tcPr>
          <w:p w:rsidR="00484D9F" w:rsidRPr="009568F3" w:rsidRDefault="00484D9F" w:rsidP="00484D9F">
            <w:pPr>
              <w:pStyle w:val="TDummyRow"/>
              <w:jc w:val="left"/>
              <w:rPr>
                <w:rFonts w:ascii="Arial" w:hAnsi="Arial" w:cs="Arial"/>
              </w:rPr>
            </w:pPr>
          </w:p>
        </w:tc>
      </w:tr>
      <w:bookmarkEnd w:id="22"/>
    </w:tbl>
    <w:p w:rsidR="00484D9F" w:rsidRDefault="00484D9F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F77816" w:rsidRPr="0088165A" w:rsidRDefault="00F77816" w:rsidP="00F778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Arial" w:hAnsi="Arial"/>
          <w:b/>
          <w:snapToGrid w:val="0"/>
          <w:color w:val="000000"/>
          <w:spacing w:val="0"/>
          <w:kern w:val="0"/>
          <w:sz w:val="18"/>
          <w:szCs w:val="18"/>
          <w:highlight w:val="yellow"/>
          <w:lang w:val="de-AT" w:eastAsia="ja-JP"/>
        </w:rPr>
      </w:pPr>
      <w:r w:rsidRPr="0088165A"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de-AT" w:eastAsia="ja-JP"/>
        </w:rPr>
        <w:t>Alle Zahlen gemäß IFRS. Bei der Summierung gerundeter Beträge und Prozentangaben können durch Verwendung automatischer Rechenhilfen Rechendifferenzen auftreten. MEUR = Million Euro.</w:t>
      </w:r>
      <w:r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de-AT" w:eastAsia="ja-JP"/>
        </w:rPr>
        <w:t xml:space="preserve"> EUR = Euro.</w:t>
      </w:r>
    </w:p>
    <w:p w:rsidR="00707D64" w:rsidRDefault="00707D64" w:rsidP="000A5BFA">
      <w:pPr>
        <w:spacing w:after="0" w:line="240" w:lineRule="exact"/>
        <w:jc w:val="left"/>
        <w:rPr>
          <w:rFonts w:ascii="Arial" w:hAnsi="Arial" w:cs="Arial"/>
          <w:bCs/>
          <w:spacing w:val="0"/>
          <w:kern w:val="0"/>
          <w:sz w:val="18"/>
          <w:szCs w:val="18"/>
          <w:vertAlign w:val="superscript"/>
          <w:lang w:val="de-AT"/>
        </w:rPr>
      </w:pPr>
    </w:p>
    <w:bookmarkEnd w:id="6"/>
    <w:sectPr w:rsidR="00707D64" w:rsidSect="00E75752">
      <w:headerReference w:type="default" r:id="rId12"/>
      <w:headerReference w:type="first" r:id="rId13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781" w:rsidRPr="0088201D" w:rsidRDefault="00E32781" w:rsidP="006A7019">
      <w:r>
        <w:separator/>
      </w:r>
    </w:p>
  </w:endnote>
  <w:endnote w:type="continuationSeparator" w:id="0">
    <w:p w:rsidR="00E32781" w:rsidRPr="0088201D" w:rsidRDefault="00E32781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781" w:rsidRPr="0088201D" w:rsidRDefault="00E32781" w:rsidP="006A7019">
      <w:r>
        <w:separator/>
      </w:r>
    </w:p>
  </w:footnote>
  <w:footnote w:type="continuationSeparator" w:id="0">
    <w:p w:rsidR="00E32781" w:rsidRPr="0088201D" w:rsidRDefault="00E32781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E3278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Seite</w:t>
    </w:r>
    <w:r w:rsidRPr="008A6F0F">
      <w:rPr>
        <w:color w:val="000000"/>
        <w:sz w:val="14"/>
        <w:szCs w:val="14"/>
      </w:rPr>
      <w:t xml:space="preserve">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A7412F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 xml:space="preserve"> (</w:t>
    </w:r>
    <w:r>
      <w:rPr>
        <w:color w:val="000000"/>
      </w:rPr>
      <w:t>von</w:t>
    </w:r>
    <w:r w:rsidRPr="008A6F0F">
      <w:rPr>
        <w:color w:val="000000"/>
      </w:rPr>
      <w:t xml:space="preserve">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A7412F">
      <w:rPr>
        <w:noProof/>
        <w:color w:val="000000"/>
      </w:rPr>
      <w:t>3</w:t>
    </w:r>
    <w:r w:rsidRPr="008A6F0F">
      <w:rPr>
        <w:color w:val="000000"/>
      </w:rPr>
      <w:fldChar w:fldCharType="end"/>
    </w:r>
    <w:r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04B94F63" wp14:editId="5427315A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Header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63FEBED5" wp14:editId="3EEBDA81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290893FA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19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F5EAC"/>
    <w:multiLevelType w:val="singleLevel"/>
    <w:tmpl w:val="36409F28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1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3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5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1">
    <w:nsid w:val="7F0F2ACC"/>
    <w:multiLevelType w:val="singleLevel"/>
    <w:tmpl w:val="C288500E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3"/>
  </w:num>
  <w:num w:numId="13">
    <w:abstractNumId w:val="25"/>
  </w:num>
  <w:num w:numId="14">
    <w:abstractNumId w:val="25"/>
  </w:num>
  <w:num w:numId="15">
    <w:abstractNumId w:val="11"/>
  </w:num>
  <w:num w:numId="16">
    <w:abstractNumId w:val="15"/>
  </w:num>
  <w:num w:numId="17">
    <w:abstractNumId w:val="12"/>
  </w:num>
  <w:num w:numId="18">
    <w:abstractNumId w:val="25"/>
  </w:num>
  <w:num w:numId="19">
    <w:abstractNumId w:val="11"/>
  </w:num>
  <w:num w:numId="20">
    <w:abstractNumId w:val="15"/>
  </w:num>
  <w:num w:numId="21">
    <w:abstractNumId w:val="12"/>
  </w:num>
  <w:num w:numId="22">
    <w:abstractNumId w:val="25"/>
  </w:num>
  <w:num w:numId="23">
    <w:abstractNumId w:val="11"/>
  </w:num>
  <w:num w:numId="24">
    <w:abstractNumId w:val="15"/>
  </w:num>
  <w:num w:numId="25">
    <w:abstractNumId w:val="12"/>
  </w:num>
  <w:num w:numId="26">
    <w:abstractNumId w:val="30"/>
  </w:num>
  <w:num w:numId="27">
    <w:abstractNumId w:val="30"/>
  </w:num>
  <w:num w:numId="28">
    <w:abstractNumId w:val="11"/>
  </w:num>
  <w:num w:numId="29">
    <w:abstractNumId w:val="15"/>
  </w:num>
  <w:num w:numId="30">
    <w:abstractNumId w:val="12"/>
  </w:num>
  <w:num w:numId="31">
    <w:abstractNumId w:val="20"/>
  </w:num>
  <w:num w:numId="32">
    <w:abstractNumId w:val="30"/>
  </w:num>
  <w:num w:numId="33">
    <w:abstractNumId w:val="11"/>
  </w:num>
  <w:num w:numId="34">
    <w:abstractNumId w:val="15"/>
  </w:num>
  <w:num w:numId="35">
    <w:abstractNumId w:val="12"/>
  </w:num>
  <w:num w:numId="36">
    <w:abstractNumId w:val="18"/>
  </w:num>
  <w:num w:numId="37">
    <w:abstractNumId w:val="29"/>
  </w:num>
  <w:num w:numId="38">
    <w:abstractNumId w:val="28"/>
  </w:num>
  <w:num w:numId="39">
    <w:abstractNumId w:val="26"/>
  </w:num>
  <w:num w:numId="40">
    <w:abstractNumId w:val="31"/>
  </w:num>
  <w:num w:numId="41">
    <w:abstractNumId w:val="14"/>
  </w:num>
  <w:num w:numId="42">
    <w:abstractNumId w:val="27"/>
  </w:num>
  <w:num w:numId="43">
    <w:abstractNumId w:val="17"/>
  </w:num>
  <w:num w:numId="44">
    <w:abstractNumId w:val="10"/>
  </w:num>
  <w:num w:numId="45">
    <w:abstractNumId w:val="1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6q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015&lt;/create&gt;_x000d__x000a_&lt;author&gt;Wolf Petra&lt;/author&gt;_x000d__x000a_&lt;page&gt;3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7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0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8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2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80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85_x0009_586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oV_GJ&lt;/bereichsname&gt;_x000d__x000a_&lt;adresse&gt;$O$484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75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65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0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42485_x0009_5829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2&lt;/create&gt;_x000d__x000a_&lt;author&gt;Wolf Petra&lt;/author&gt;_x000d__x000a_&lt;page&gt;1&lt;/page&gt;_x000d__x000a_&lt;block&gt;&lt;/block&gt;_x000d__x000a_&lt;status&gt;42485_x0009_5829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7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13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7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25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2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796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63117115_26808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6D5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748"/>
    <w:rsid w:val="0003696D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2ADB"/>
    <w:rsid w:val="000C42B2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10"/>
    <w:rsid w:val="000E62F1"/>
    <w:rsid w:val="000E6611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5731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CDC"/>
    <w:rsid w:val="001A6AF9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4E31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5849"/>
    <w:rsid w:val="002125D7"/>
    <w:rsid w:val="002131AE"/>
    <w:rsid w:val="00214295"/>
    <w:rsid w:val="00215E44"/>
    <w:rsid w:val="002162CE"/>
    <w:rsid w:val="00220548"/>
    <w:rsid w:val="00221463"/>
    <w:rsid w:val="00221F87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15C"/>
    <w:rsid w:val="002627A0"/>
    <w:rsid w:val="0026321A"/>
    <w:rsid w:val="00264C9F"/>
    <w:rsid w:val="00264FBD"/>
    <w:rsid w:val="00265825"/>
    <w:rsid w:val="0026587F"/>
    <w:rsid w:val="00267299"/>
    <w:rsid w:val="00270A8E"/>
    <w:rsid w:val="002718FE"/>
    <w:rsid w:val="002719EF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2B2"/>
    <w:rsid w:val="00283BFC"/>
    <w:rsid w:val="00285060"/>
    <w:rsid w:val="0028609F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2D"/>
    <w:rsid w:val="002A6840"/>
    <w:rsid w:val="002A6988"/>
    <w:rsid w:val="002A774A"/>
    <w:rsid w:val="002A77F9"/>
    <w:rsid w:val="002A7E45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31CD"/>
    <w:rsid w:val="002D4184"/>
    <w:rsid w:val="002D43FA"/>
    <w:rsid w:val="002D4F47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16EF5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6A39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B62"/>
    <w:rsid w:val="00373F76"/>
    <w:rsid w:val="00374201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4A6A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B7EEB"/>
    <w:rsid w:val="003C191F"/>
    <w:rsid w:val="003C266C"/>
    <w:rsid w:val="003C339F"/>
    <w:rsid w:val="003C5FC3"/>
    <w:rsid w:val="003C6A0B"/>
    <w:rsid w:val="003D1296"/>
    <w:rsid w:val="003D17A1"/>
    <w:rsid w:val="003D1D1C"/>
    <w:rsid w:val="003D486A"/>
    <w:rsid w:val="003D49F2"/>
    <w:rsid w:val="003D517E"/>
    <w:rsid w:val="003D53FB"/>
    <w:rsid w:val="003D6132"/>
    <w:rsid w:val="003D6F69"/>
    <w:rsid w:val="003D787E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1FE"/>
    <w:rsid w:val="00400CC5"/>
    <w:rsid w:val="004013D8"/>
    <w:rsid w:val="00401B45"/>
    <w:rsid w:val="00401B7A"/>
    <w:rsid w:val="004023F9"/>
    <w:rsid w:val="00403F96"/>
    <w:rsid w:val="004041BF"/>
    <w:rsid w:val="00404623"/>
    <w:rsid w:val="00405439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2B8"/>
    <w:rsid w:val="004775E8"/>
    <w:rsid w:val="00477803"/>
    <w:rsid w:val="00477815"/>
    <w:rsid w:val="00477AE6"/>
    <w:rsid w:val="00482BF8"/>
    <w:rsid w:val="00482C36"/>
    <w:rsid w:val="00482E04"/>
    <w:rsid w:val="004841CB"/>
    <w:rsid w:val="00484D9F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28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7F3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193"/>
    <w:rsid w:val="004D1549"/>
    <w:rsid w:val="004D18F5"/>
    <w:rsid w:val="004D2D14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98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36E1"/>
    <w:rsid w:val="0056413D"/>
    <w:rsid w:val="0056554E"/>
    <w:rsid w:val="00565991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202"/>
    <w:rsid w:val="005C2C25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3E3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288"/>
    <w:rsid w:val="006057CC"/>
    <w:rsid w:val="00605AB1"/>
    <w:rsid w:val="00605FA7"/>
    <w:rsid w:val="00606BE3"/>
    <w:rsid w:val="00606E89"/>
    <w:rsid w:val="0060709D"/>
    <w:rsid w:val="00607B47"/>
    <w:rsid w:val="006105B3"/>
    <w:rsid w:val="00610CC4"/>
    <w:rsid w:val="00610D55"/>
    <w:rsid w:val="0061165A"/>
    <w:rsid w:val="00611732"/>
    <w:rsid w:val="00611F3C"/>
    <w:rsid w:val="006128B4"/>
    <w:rsid w:val="0061402C"/>
    <w:rsid w:val="0061438A"/>
    <w:rsid w:val="00614A4A"/>
    <w:rsid w:val="00614E37"/>
    <w:rsid w:val="006156E1"/>
    <w:rsid w:val="0061791F"/>
    <w:rsid w:val="00617A31"/>
    <w:rsid w:val="006202B4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65D6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252"/>
    <w:rsid w:val="00673AA3"/>
    <w:rsid w:val="00674097"/>
    <w:rsid w:val="006746BE"/>
    <w:rsid w:val="00675B80"/>
    <w:rsid w:val="0067680C"/>
    <w:rsid w:val="00676871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E7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CE4"/>
    <w:rsid w:val="006C5710"/>
    <w:rsid w:val="006C5F7E"/>
    <w:rsid w:val="006C68D3"/>
    <w:rsid w:val="006C6E8C"/>
    <w:rsid w:val="006C7ADD"/>
    <w:rsid w:val="006D0E95"/>
    <w:rsid w:val="006D135A"/>
    <w:rsid w:val="006D202C"/>
    <w:rsid w:val="006D2B61"/>
    <w:rsid w:val="006D3C7D"/>
    <w:rsid w:val="006D448C"/>
    <w:rsid w:val="006D4B83"/>
    <w:rsid w:val="006D7F1F"/>
    <w:rsid w:val="006E00A0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4E4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0AC5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47FEA"/>
    <w:rsid w:val="007502BC"/>
    <w:rsid w:val="0075097D"/>
    <w:rsid w:val="00751651"/>
    <w:rsid w:val="00752D55"/>
    <w:rsid w:val="00752EAF"/>
    <w:rsid w:val="00753923"/>
    <w:rsid w:val="00753D5C"/>
    <w:rsid w:val="00754BEF"/>
    <w:rsid w:val="00757BCD"/>
    <w:rsid w:val="0076133F"/>
    <w:rsid w:val="00762143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663C5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19B0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3FDB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136"/>
    <w:rsid w:val="008422DF"/>
    <w:rsid w:val="0084354A"/>
    <w:rsid w:val="008436F0"/>
    <w:rsid w:val="008437B2"/>
    <w:rsid w:val="008450D2"/>
    <w:rsid w:val="008468AB"/>
    <w:rsid w:val="00846930"/>
    <w:rsid w:val="00851615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1381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7AB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03B6"/>
    <w:rsid w:val="0090157D"/>
    <w:rsid w:val="00901836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B51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8F3"/>
    <w:rsid w:val="00956B1C"/>
    <w:rsid w:val="00957EB4"/>
    <w:rsid w:val="00962C6E"/>
    <w:rsid w:val="00963122"/>
    <w:rsid w:val="00963837"/>
    <w:rsid w:val="00965AEB"/>
    <w:rsid w:val="009660F0"/>
    <w:rsid w:val="00966966"/>
    <w:rsid w:val="009679D1"/>
    <w:rsid w:val="00970779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793F"/>
    <w:rsid w:val="00991651"/>
    <w:rsid w:val="00991DD9"/>
    <w:rsid w:val="00991F3F"/>
    <w:rsid w:val="00992269"/>
    <w:rsid w:val="00992362"/>
    <w:rsid w:val="00992771"/>
    <w:rsid w:val="009927A2"/>
    <w:rsid w:val="00993F51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BA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D7F93"/>
    <w:rsid w:val="009E00BE"/>
    <w:rsid w:val="009E0280"/>
    <w:rsid w:val="009E04E5"/>
    <w:rsid w:val="009E0B04"/>
    <w:rsid w:val="009E1D92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730F"/>
    <w:rsid w:val="009F7E75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0E0C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12F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889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B7325"/>
    <w:rsid w:val="00AB7A1F"/>
    <w:rsid w:val="00AC05B3"/>
    <w:rsid w:val="00AC0898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377B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DB"/>
    <w:rsid w:val="00AE69B4"/>
    <w:rsid w:val="00AE7100"/>
    <w:rsid w:val="00AE7BE5"/>
    <w:rsid w:val="00AF06CA"/>
    <w:rsid w:val="00AF0BD6"/>
    <w:rsid w:val="00AF1838"/>
    <w:rsid w:val="00AF1D65"/>
    <w:rsid w:val="00AF2BE4"/>
    <w:rsid w:val="00AF3BF2"/>
    <w:rsid w:val="00AF4055"/>
    <w:rsid w:val="00AF4CAF"/>
    <w:rsid w:val="00AF566A"/>
    <w:rsid w:val="00AF5B6A"/>
    <w:rsid w:val="00AF5BBF"/>
    <w:rsid w:val="00AF6068"/>
    <w:rsid w:val="00AF6916"/>
    <w:rsid w:val="00AF70A0"/>
    <w:rsid w:val="00B00F96"/>
    <w:rsid w:val="00B019DC"/>
    <w:rsid w:val="00B0292F"/>
    <w:rsid w:val="00B0396B"/>
    <w:rsid w:val="00B041AB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836"/>
    <w:rsid w:val="00B35EDD"/>
    <w:rsid w:val="00B36265"/>
    <w:rsid w:val="00B368F3"/>
    <w:rsid w:val="00B36B68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6101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BA1"/>
    <w:rsid w:val="00B77996"/>
    <w:rsid w:val="00B77ED2"/>
    <w:rsid w:val="00B8000C"/>
    <w:rsid w:val="00B80F71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67FF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519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17DD9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51C"/>
    <w:rsid w:val="00C359E8"/>
    <w:rsid w:val="00C35D7F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1F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2EAC"/>
    <w:rsid w:val="00CD32EE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B13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2C0"/>
    <w:rsid w:val="00D22596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75BB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453C"/>
    <w:rsid w:val="00DB5BE8"/>
    <w:rsid w:val="00DB628A"/>
    <w:rsid w:val="00DB636C"/>
    <w:rsid w:val="00DB637A"/>
    <w:rsid w:val="00DB6A90"/>
    <w:rsid w:val="00DB6E3B"/>
    <w:rsid w:val="00DB7FA6"/>
    <w:rsid w:val="00DC1986"/>
    <w:rsid w:val="00DC2EAD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32C5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95D"/>
    <w:rsid w:val="00DF4290"/>
    <w:rsid w:val="00DF43CD"/>
    <w:rsid w:val="00DF481D"/>
    <w:rsid w:val="00DF4BF3"/>
    <w:rsid w:val="00DF5299"/>
    <w:rsid w:val="00DF58D7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64A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27F0D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12C"/>
    <w:rsid w:val="00E557F0"/>
    <w:rsid w:val="00E56053"/>
    <w:rsid w:val="00E56260"/>
    <w:rsid w:val="00E564A5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3D63"/>
    <w:rsid w:val="00E743C7"/>
    <w:rsid w:val="00E75752"/>
    <w:rsid w:val="00E75F33"/>
    <w:rsid w:val="00E760CF"/>
    <w:rsid w:val="00E76AD2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871CC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C5C"/>
    <w:rsid w:val="00F12E84"/>
    <w:rsid w:val="00F13B71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28BB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70334"/>
    <w:rsid w:val="00F71691"/>
    <w:rsid w:val="00F71949"/>
    <w:rsid w:val="00F71B71"/>
    <w:rsid w:val="00F71F4E"/>
    <w:rsid w:val="00F72378"/>
    <w:rsid w:val="00F734CD"/>
    <w:rsid w:val="00F74EE9"/>
    <w:rsid w:val="00F76C0C"/>
    <w:rsid w:val="00F76D6A"/>
    <w:rsid w:val="00F77385"/>
    <w:rsid w:val="00F77816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0A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3B3"/>
    <w:rsid w:val="00FB65C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0560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47E1"/>
    <w:rsid w:val="00FE5878"/>
    <w:rsid w:val="00FE5C5B"/>
    <w:rsid w:val="00FE6902"/>
    <w:rsid w:val="00FE6FA3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tra.wolf@andritz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1E39-F780-45FD-B388-067A5E86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3</Pages>
  <Words>754</Words>
  <Characters>4755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11</cp:revision>
  <cp:lastPrinted>2016-05-02T11:38:00Z</cp:lastPrinted>
  <dcterms:created xsi:type="dcterms:W3CDTF">2016-04-29T04:16:00Z</dcterms:created>
  <dcterms:modified xsi:type="dcterms:W3CDTF">2016-05-02T11:48:00Z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